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cs="Tahoma"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Cs/>
          <w:color w:val="000000"/>
          <w:kern w:val="0"/>
          <w:szCs w:val="21"/>
        </w:rPr>
        <w:t>附件三：</w:t>
      </w:r>
    </w:p>
    <w:p>
      <w:pPr>
        <w:widowControl/>
        <w:shd w:val="clear" w:color="auto" w:fill="FFFFFF"/>
        <w:jc w:val="center"/>
        <w:rPr>
          <w:rFonts w:ascii="宋体" w:hAnsi="宋体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皖南医学院人文与管理学院</w:t>
      </w:r>
    </w:p>
    <w:p>
      <w:pPr>
        <w:widowControl/>
        <w:shd w:val="clear" w:color="auto" w:fill="FFFFFF"/>
        <w:jc w:val="center"/>
        <w:rPr>
          <w:rFonts w:ascii="宋体" w:hAnsi="宋体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第二届大学生模拟法庭比赛</w:t>
      </w:r>
    </w:p>
    <w:p>
      <w:pPr>
        <w:widowControl/>
        <w:shd w:val="clear" w:color="auto" w:fill="FFFFFF"/>
        <w:jc w:val="center"/>
        <w:rPr>
          <w:rFonts w:ascii="宋体" w:hAnsi="宋体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辩题设置及评分细则</w:t>
      </w:r>
    </w:p>
    <w:p>
      <w:pPr>
        <w:widowControl/>
        <w:shd w:val="clear" w:color="auto" w:fill="FFFFFF"/>
        <w:spacing w:after="156" w:afterLines="50"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  </w:t>
      </w:r>
    </w:p>
    <w:p>
      <w:pPr>
        <w:spacing w:line="319" w:lineRule="exact"/>
        <w:rPr>
          <w:rFonts w:ascii="宋体" w:hAnsi="宋体"/>
          <w:i/>
          <w:sz w:val="28"/>
        </w:rPr>
      </w:pPr>
      <w:r>
        <w:rPr>
          <w:rFonts w:ascii="宋体" w:hAnsi="宋体"/>
          <w:i/>
          <w:sz w:val="28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、本赛题材料经由真实案例改编而成，为方便比赛，地名、人名及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其身份证号、机构等均为虚构，和现实中任何机构与个人均毫无关系。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、各参赛队根据材料所给内容，结合相关法律规定，分别从本案原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告和被告角度撰写本案书面代理意见提交。具体要求参见赛事方案第六条“书状”。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、为了比赛需要，略去赛题中起诉状和答辩状所援引的法律条款，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各参赛队可以在书面代理意见中补充相应法律条款。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、书面代理意见中的诉讼请求可以不受现有材料中起诉状和答辩状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所限。各队可以从本队比赛策略出发，调整诉讼请求，选择使用案件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材料。但不得主张新的事实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不得使用材料中没有提到的证据材料。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当事人的主观心理状态可以在基本事实的基础上作合情合理的推理。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、赛题材料中，起诉状与答辩状所附证据材料，标注为“略”的证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据附件为不需要质证或没有争议的客观事实。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、本案模拟开庭时，法院委托的第三方评估公司所提交《评估报告》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内容，可作为原告、被告的质证对象，但评估公司不需要到庭解释。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、双方对于本案当事人资格、管辖权等程序问题的争议不影响模拟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审判庭对本案的继续审理。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、材料中所提到的相关判决书、裁定书等文书，其裁判是否适当，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不直接作为本模拟辩论的重点，但双方均可以选择使用或进行评价。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、比赛轮次及持方的决定，遵照大赛方案执行。</w:t>
      </w:r>
    </w:p>
    <w:p>
      <w:pPr>
        <w:rPr>
          <w:rFonts w:ascii="宋体" w:cs="宋体" w:hAnsiTheme="minorHAnsi"/>
          <w:color w:val="000000"/>
          <w:kern w:val="0"/>
          <w:szCs w:val="21"/>
        </w:rPr>
      </w:pP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  <w:r>
        <w:rPr>
          <w:rFonts w:ascii="宋体" w:cs="宋体" w:hAnsiTheme="minorHAnsi"/>
          <w:color w:val="000000"/>
          <w:kern w:val="0"/>
          <w:szCs w:val="21"/>
        </w:rPr>
        <w:t xml:space="preserve"> </w:t>
      </w:r>
      <w:r>
        <w:rPr>
          <w:rFonts w:hint="eastAsia" w:ascii="宋体" w:cs="宋体" w:hAnsiTheme="minorHAnsi"/>
          <w:color w:val="000000"/>
          <w:kern w:val="0"/>
          <w:szCs w:val="21"/>
        </w:rPr>
        <w:t>※※※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第一部分 原告提供的诉讼材料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民事起诉状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原告：阳光花园小区第一届业主委员会，负责人：李海峰，职务：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主任，住址：合肥市凤山区（该区为化名）阳光花园小区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304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室，电话：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12345678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被告：天堂房地产开发（安徽）有限公司，法人代表：张国庆，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职务：执行董事兼总经理，住址：合肥市凤山区阳光花园小区商业四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号楼，电话：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88888888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一、诉讼请求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（一）判令被告赔偿原告损失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（暂定</w:t>
      </w:r>
      <w:r>
        <w:rPr>
          <w:rFonts w:ascii="仿宋" w:hAnsi="仿宋" w:eastAsia="仿宋" w:cs="仿宋"/>
          <w:color w:val="FF0000"/>
          <w:kern w:val="0"/>
          <w:sz w:val="28"/>
          <w:szCs w:val="28"/>
        </w:rPr>
        <w:t xml:space="preserve">50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万元，具体数额以申请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的委托评估报告为准）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（二）判令被告承担本案诉讼费用、财产保全费用和评估费用。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二、事实和理由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（一）与政府规划车位数比较，被告少建车位数：地面停车位少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个、地下停车库少建了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个，合计少建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255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个车位。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原告所在阳光花园小区建筑面积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164620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平米，业主数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1967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由被告开发并于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2009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年年底交付使用的。原告自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月依法备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案成立后，发现实际建设的车位数与政府规划的数量严重不符。具体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表现为：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、地上车位规划数是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293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个而实际车位数是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233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个，因建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筑密度增大导致地面车位减少了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个（规划总户数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1509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户，实际多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1967-1509=458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户）。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、地下车库规划两层机械车位数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373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实际车位数是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178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个，因地下车库所建面积缩小和未建机械车位导致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车位减少了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个，并且地下车位的水泥地面粗糙、停车照明不能正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常使用。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区建设局曾几次协调，并曾向被告发通知要求尽快实施小区机动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车库，被告几次答应按照规划数建设车位但总是不兑现。业主们认为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被告缺乏继续履行规划内容的诚意，被告少建车位实际上已经给小区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业主带来各种损失。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（二）被告少建车位给原告小区带了损失，具体数额以评估报告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为准。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根据区建设局和多数业主意见，原告不再要求被告继续履行规划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内容来增补车位，现要求被告因为少建了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255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个车位却相反地违法增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加了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458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户业主、小区容积率增大对原告小区带来的损失进行赔偿，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包括但不限于停车难给业主生活质量下降、容积率增加导致房产贬值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等诸多损失，这些损失都是因为开发商没有按照规划建设造成的。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（三）被告应承担评估费用。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如果被告按照政府规划进行建设，如果在凤山区建设局协调下兑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现了履行规划的承诺，就不会有现在的赔偿损失诉讼，原告也就不存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在承担该损失评估费用的可能。原告支出的此评估费用与被告过错之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间存在因果关系。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原告经业主大会授权代表全体业主，现诉诸于贵院，敬请依法裁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决并支持原告诉求！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此致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凤山区人民法院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阳光花园业主委员会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（业委会印章略）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O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一六年一月四日</w:t>
      </w:r>
    </w:p>
    <w:p>
      <w:pPr>
        <w:autoSpaceDE w:val="0"/>
        <w:autoSpaceDN w:val="0"/>
        <w:adjustRightInd w:val="0"/>
        <w:jc w:val="left"/>
        <w:rPr>
          <w:rFonts w:ascii="Calibri" w:hAnsi="Calibri" w:eastAsia="仿宋" w:cs="Calibri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附件一：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证据目录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（原告阳光花园业主委员会于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2016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日提供）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、原告、被告身份信息（组织机构代码证略）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、《小区规划平面图》（图略，相关数据见评估报告）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、小区实际车位数统计（数据见评估报告）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、《关于尽快实施阳光花园小区机动车位（库）的通知》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8"/>
          <w:szCs w:val="28"/>
        </w:rPr>
      </w:pPr>
      <w:r>
        <w:rPr>
          <w:rFonts w:hint="eastAsia" w:ascii="宋体" w:cs="宋体" w:hAnsiTheme="minorHAnsi"/>
          <w:color w:val="000000"/>
          <w:kern w:val="0"/>
          <w:sz w:val="28"/>
          <w:szCs w:val="28"/>
        </w:rPr>
        <w:t>合肥市凤山区建设发展局关于尽快组织实施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8"/>
          <w:szCs w:val="28"/>
        </w:rPr>
      </w:pPr>
      <w:r>
        <w:rPr>
          <w:rFonts w:hint="eastAsia" w:ascii="宋体" w:cs="宋体" w:hAnsiTheme="minorHAnsi"/>
          <w:color w:val="000000"/>
          <w:kern w:val="0"/>
          <w:sz w:val="28"/>
          <w:szCs w:val="28"/>
        </w:rPr>
        <w:t>阳光花园小区机动车库（位）的通知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天堂房地产开发（安徽）有限公司：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根据我局《关于阳光花园小区房屋质量和消防管网维修及停车位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完善的通知》，你公司与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月份将阳光花园小区地下车库（位）设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计方案提交小区业委会，经业委会公示征求广大业主的意见，业主同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意你公司的设计方案，并要求按此方案实施。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请你公司接通知后，尽快联系小区业委会，组织相关单位进场施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工，妥善处理本小区车库位的问题。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特此通知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凤山区建设发展局（印章略）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、《关于建议依法查处阳光花园小区机动车库未按规划建设的函》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8"/>
          <w:szCs w:val="28"/>
        </w:rPr>
      </w:pPr>
      <w:r>
        <w:rPr>
          <w:rFonts w:hint="eastAsia" w:ascii="宋体" w:cs="宋体" w:hAnsiTheme="minorHAnsi"/>
          <w:color w:val="000000"/>
          <w:kern w:val="0"/>
          <w:sz w:val="28"/>
          <w:szCs w:val="28"/>
        </w:rPr>
        <w:t>关于建议依法查处阳光花园小区机动车库未按规划建设的函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区城管局：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阳光花园小区位于某某路与某某路交口东南，建设单位为天堂房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地产开发（安徽）有限公司。根据已批准的阳光花园小区规划图，该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小区地下停车库未两层机械停车，总停车数量为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374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辆。现经业主投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诉，天堂房地产开发（安徽）有限公司至今未按照原规划要求完成机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械车库设备安装。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请贵局依照《中华人民共和国城乡规划法》相关规定，对其违法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行为予以相应查处，并要求其限期按原规划整改到位。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特此函告。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附件：阳光花园小区地下机动车库规划许可证复印件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凤山区建设发展局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、阳光花园业主大会议事规则（节略。该证据材料于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9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日由原告提供）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8"/>
          <w:szCs w:val="28"/>
        </w:rPr>
      </w:pPr>
      <w:r>
        <w:rPr>
          <w:rFonts w:hint="eastAsia" w:ascii="宋体" w:cs="宋体" w:hAnsiTheme="minorHAnsi"/>
          <w:color w:val="000000"/>
          <w:kern w:val="0"/>
          <w:sz w:val="28"/>
          <w:szCs w:val="28"/>
        </w:rPr>
        <w:t>阳光花园小区业主大会议事规则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年阳光花园小区第一次业主大会通过，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日换届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业主大会第一次修改）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第一条根据《中华人民共和国物权法》、国务院《物业管理条例》、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《安徽省物业管理条例》、《合肥市物业管理若干规定》和《合肥市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业主大会和业主委员会指导规则》等相关规定，制定本业主大会议事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规则。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第二条本业主大会由本物业管理区域内的全体业主组成。本业主大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会选举的业主委员会负责执行业主大会的决定。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第三条至第三十二条（略）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第三十三条本次业主大会认为业委会是因为小区共有无权和共同管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理权而存在的，决定永久授权业主委员会就物业服务合同等相关法律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纠纷进行调解、仲裁和诉讼，决定永久授权业主委员会代表本小区业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主就小区共有无权和共同管理权纠纷进行调解、仲裁、复议和诉讼等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各项权利。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本次业主大会特别决定：对于维护和增益小区共有利益的调解、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复议和诉讼等法律纠纷程序已经启动的，不因业主委员会解释而中止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或者中止法律维权活动，特别授权已经启动法律程序的原业主委员会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成员继续享有或履行原业委会的各项诉讼权利和义务。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其余内容（略）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业主大会代表签名（略）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、阳光花园损失评估报告（见附件七）</w:t>
      </w:r>
    </w:p>
    <w:p>
      <w:pPr>
        <w:autoSpaceDE w:val="0"/>
        <w:autoSpaceDN w:val="0"/>
        <w:adjustRightInd w:val="0"/>
        <w:jc w:val="left"/>
        <w:rPr>
          <w:rFonts w:ascii="Calibri" w:hAnsi="Calibri" w:eastAsia="仿宋" w:cs="Calibri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附件二：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财产保全申请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申请人：阳光花园小区第一届业主委员会，负责人：李海峰，职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务：主任，住址：合肥市阳光花园小区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304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室，电话：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12345678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被申请人：天堂房地产开发（安徽）有限公司，法人代表：张国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庆，职务：执行董事兼总经理，住址：合肥市阳光花园小区商业四号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楼，电话：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88888888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申请事项：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立即冻结被申请人名下的银行存款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万元或对被申请人名下尚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未出售的阳光花园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101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房屋（建筑面积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218.62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平米）进行保全。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事实及理由：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申请人已就与被申请人车位纠纷向贵院提起诉讼，要求赔偿因少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255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个车位（包括地上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个、地下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个）和一个容纳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36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辆机动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车的地面停车库，而给小区带来的损失（暂定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万元，以评估报告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为准）。为了防止被申请人转移财产、确保贵院作出的生效法律文书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能得到顺利执行，特向贵院申请对被申请人名下的银行存款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或尚未出售的阳光花园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101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房屋（建筑面积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218.62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平米）进行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保全。如因采取保全措施不当造成被申请人财产损失的，由申请人承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担责任。申请人提供现金担保。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此致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凤山区人民法院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阳光花园业主委员会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（业委会印章略）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O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一六年一月四日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4"/>
        </w:rPr>
      </w:pPr>
      <w:r>
        <w:rPr>
          <w:rFonts w:hint="eastAsia" w:ascii="宋体" w:cs="宋体" w:hAnsiTheme="minorHAnsi"/>
          <w:color w:val="000000"/>
          <w:kern w:val="0"/>
          <w:sz w:val="24"/>
        </w:rPr>
        <w:t>附件三：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市凤山区人民法院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民事裁定书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(2016)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皖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022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字民第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1385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申请人：阳光花园小区业主委员会，负责人：李海峰，职务：主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任，住址：合肥市阳光花园小区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304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室，电话：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12345678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被申请人：天堂房地产开发（安徽）有限公司，法人代表：张国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庆，职务：执行董事兼总经理，住址：合肥市阳光花园小区商业四号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楼，电话：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88888888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申请人与被申请人因车位纠纷一案，申请人阳光花园小区业主委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员会于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2016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日向本院申请财产保全，请求对被申请人天堂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房地产开发（安徽）有限公司已经开发但尚未出售的阳光花园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101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房屋（建筑面积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218.62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平米）进行保全。申请人已经提供了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20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万元人民币现金担保。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本院经审查认为，申请人的财产保全申请符合条件，现裁定如下：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查封被申请人天堂房地产开发（安徽）有限公司已经开发但尚未出售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的阳光花园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101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房屋。案件申请费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3000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元，暂由申请人负担。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本裁定立即开始执行。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本裁定书送达之日起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日内向本院提起诉讼。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审判员：韩东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书记员：钱潇潇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【凤山区人民法院印章略】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二零一六年一月五日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附件四：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委托评估申请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申请人：阳光花园小区业主委员会，负责人：李海峰，职务：主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任，住址：合肥市阳光花园小区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304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室，电话：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12345678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申请事项：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依法委托合适的评估机构，对相对人【天堂房地产开发（安徽）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有限公司】未按政府规划车位数建设给申请人所在小区造成的各项损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失数额进行评估，并出具评估报告。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事实和理由：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申请人所在阳光花园小区由相对人开发并于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2009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年年底交付使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用的。申请人自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月依法备案成立后，发现实际建设的车位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数与政府规划的数量严重不符。具体表现为：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、地上车位规划数是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293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个而实际车位数是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233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个，因容积率增大导致地面车位减少了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60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个。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、地下车库规划车位数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373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个而实际车位数是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178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个，因地下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车库所建面积缩小和未建机械车位导致车位减少了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个，并且地下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车位的水泥地面粗糙、停车照明不能正常使用。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、车位减少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255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的同时却不遵守规划又违法增加了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458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户业主，加剧了停车难。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申请人现要求相对人因为少建地上和地下车位、容积率增大对申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请人小区带来的损失进行赔偿，包括但不限于停车难带来的业主生活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质量下降、容积率增大导致的房产贬值等诸多损失，这些损失都是因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为开发商没有按照规划建设造成的。但具体损失数额多少，需要专业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评估机构进行评估。现申请贵院委托评估机构进行评估，望批准！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此致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凤山区人民法院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阳光花园业主委员会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（业委会印章略）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O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一六年一月四日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4"/>
        </w:rPr>
      </w:pPr>
      <w:r>
        <w:rPr>
          <w:rFonts w:hint="eastAsia" w:ascii="宋体" w:cs="宋体" w:hAnsiTheme="minorHAnsi"/>
          <w:color w:val="000000"/>
          <w:kern w:val="0"/>
          <w:sz w:val="24"/>
        </w:rPr>
        <w:t>附件五：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凤山区人民法院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价格评估委托书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安徽大众房地产评估有限公司：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我院在审理阳光花园业主委员会诉天堂房地产开发（安徽）有限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公司车位纠纷一案中，需对损害事实价格评估。依照《最高人民法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院关于人民法院委托评估、拍卖工作的若干规定》第三条规定，请你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单位对车位减少所造成申请人损害事实进行价格评估，并将书面评估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报告一式三份及时报送我院。评估费由申请人阳光花园业主委员会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承担。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审判员：韩东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书记员：钱潇潇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【凤山区人民法院印章略】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二零一六年八月十六日</w:t>
      </w:r>
    </w:p>
    <w:p>
      <w:pPr>
        <w:autoSpaceDE w:val="0"/>
        <w:autoSpaceDN w:val="0"/>
        <w:adjustRightInd w:val="0"/>
        <w:jc w:val="left"/>
        <w:rPr>
          <w:rFonts w:ascii="Calibri" w:hAnsi="Calibri" w:eastAsia="仿宋" w:cs="Calibri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附件六：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阳光花园车位减少所造损失的评估报告（摘要）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一、致委托方函（略）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二、评估师声明（略）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三、评估对象的基本情况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（一）规划内容：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、政府规划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702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个停车位，其中地面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293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个、地下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373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、规划容积率为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2.13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：总建筑面积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157889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平米、总用地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74281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平米、业主户数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1509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、地下建筑面积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7500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（二）实际建设内容：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、地上建筑面积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165799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平米（多了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7910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平米），实际容积率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2.23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（多了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0.1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、业主户数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1967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户（多了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458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户）；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、地下面积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6191.95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平米（比规划少了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1308.05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平米）；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、车位数地上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233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个（比规划少了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个）、地下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178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个（比规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划少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个）。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四、估价的假设和限制条件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、假设地面停车位的产权，属于业主共有。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、假设地下建设的是双层机械车位，产权归建设单位所有。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、假设政府规划车位数是按照一定比例配备的。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五、估价结果报告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、参照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2009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年房屋交付的市场价格标准计算。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、地上车位数比规划少了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50000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个标准计算，合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计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万元。这个损失，应当属于直接损失。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、地下车位数比规划少了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195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个，属于机械车位。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根据现场测量，其中能建机械设备的车位数为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140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个，需要应当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投入设备数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150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套，每套价格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12000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180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万元。这个应投入而未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投入的费用，可以视为业主的直接损失。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剩余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个车位不能建设机械设备，按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50000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个计算即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275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元，也应该属于业主直接损失。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两项直接损失合计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+180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+275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=755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、规划车位数与规划户数的比例为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702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1509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，实际户数多了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458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个，所以相应车位数应当增加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458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x702/1509=213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个。按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50000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个计算，合计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1065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万元。这个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1065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万元可视为小区间接利益的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损失。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六、需要说明的其他事项（略）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安徽大众房地产评估有限公司（印章略）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O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一七年八月十日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评估师：张国民（签名）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《执业证书》证号：×××××××××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评估师：瞿莉（签名）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《执业证书》证号：××××××××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附评估依据及其来源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、阳光花园小区规划平面图，来源：合肥市凤山区建设发展局；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、凤山区建设发展局关于尽快实施阳光花园小区机动车位（库）的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通知，来源：凤山区建设发展局；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、凤山区建设发展局关于建议依法查处阳光花园小区机动车库未按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规划建设的函，来源：凤山区建设发展局；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、阳光花园小区业主户数和房产面积、户型图，来源：合肥市房地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产管理局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第二部分被告提交诉讼材料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答辩状（摘要）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答辩人：天堂房地产开发（安徽）有限公司，法人代表：张国庆，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职务：执行董事兼总经理，住址：合肥市阳光花园小区商业四号楼，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88888888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一、答辩请求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、驳回原告的所有诉讼请求。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、判决由原告承担本案的一切费用。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二、事实与理由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、原告不具备诉讼资格。因为根据物权法的规定，业委会只是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业主大会的执行机构，原告本次诉讼没有通过业主大会。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、被告的小区各项工程都通过了竣工验收，政府部门颁发了规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划核实合格证，包括诉争的地面车位数、地下车位数都通过政府验收，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不存在原告所说的“不按规划数量建设停车位”问题。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、业主在购房合同中并未对车位进行约定，没有约定自然就不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存在违约责任追究。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、被告是否按照政府规划要求，应该由政府规划部门来认定和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责任追究，原告是没有追究资格的。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、根据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年合肥市颁布的《控制性规划通则》，自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起，住宅小区的地下车库不再允许建立机械停车设备。被告之前已经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与机械设备厂家签订了《购买机械车位设备合同》，但鉴于这个通则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而不能实施安装。法律政策变了，导致被告不能按照规划来建设机械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设备车位，不是被告过错。这一点被告也向房地产和规划部门做了陈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述。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万元的损失赔偿没有法律依据和事实依据。原告要求委托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第三方评估公司来评估损失，缺少法律依据。提出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50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万的赔偿额，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也没有事实依据。国内没有相关案例作为参考，请法庭驳回原告委托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第三方评估的申请。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综上所述，请人民法院驳回原告的诉讼请求并判令原告承担本案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的一切费用。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此致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凤山区人民法院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答辩人：天堂房地产开发（安徽）有限公司（印章略）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2016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8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17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附：证据目录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、答辩人身份信息（略）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、《竣工验收合格证》（原件，略）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、《机械式车位设备买卖合同》（节略）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000000"/>
          <w:kern w:val="0"/>
          <w:sz w:val="28"/>
          <w:szCs w:val="28"/>
        </w:rPr>
      </w:pPr>
      <w:r>
        <w:rPr>
          <w:rFonts w:hint="eastAsia" w:ascii="宋体" w:cs="宋体" w:hAnsiTheme="minorHAnsi"/>
          <w:color w:val="000000"/>
          <w:kern w:val="0"/>
          <w:sz w:val="28"/>
          <w:szCs w:val="28"/>
        </w:rPr>
        <w:t>机械式停车设备采购及安装合同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甲方：天堂房地产开发（安徽）有限公司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乙方：安徽力宏钢结构（集团）股份有限公司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阳光花园住宅小区地下机械停车位采购及安装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合同编号：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2015.M-16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签订地点：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合肥市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签订时间：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2015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合同文本及合同附件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依照《中华人民共和国合同法》的规定，甲乙双方为体现合同目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的，明确双方的权利义务，经双方充分协商，特订立本合同。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、设备名称、价格、结算方式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1.1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设备名称及型号：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PSB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型二层升降机械停车设备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1.2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设备单价：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13500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【壹万叄千伍百】元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车位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1.3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设备数量：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12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车位【本项目总共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330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个车位，目前暂定先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安装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车位作为样板，最终结算以实际安装车位为准】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1.4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合同总价：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162000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元，大写壹拾陆万贰千元整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其中设备款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70%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开具增值税发票，安装服务费等约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开具建筑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安装发票。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1.5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本合同价格包括停车设备的设计、制造、安装、护栏、交验、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税金、运费。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、结算方式（略）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、其他略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本合同附件：设备数目及技术参数表（略）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甲方：法定代表人签字（略）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乙方：法定代表人签字（略）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（合同章略）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（合同章略）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2015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22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、合肥控制性规划的规定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 w:val="44"/>
          <w:szCs w:val="44"/>
        </w:rPr>
      </w:pPr>
      <w:r>
        <w:rPr>
          <w:rFonts w:hint="eastAsia" w:ascii="宋体" w:cs="宋体" w:hAnsiTheme="minorHAnsi"/>
          <w:color w:val="464445"/>
          <w:kern w:val="0"/>
          <w:sz w:val="44"/>
          <w:szCs w:val="44"/>
        </w:rPr>
        <w:t>合肥市控制性详细规划通则（试行）节略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ascii="宋体" w:cs="宋体" w:hAnsiTheme="minorHAnsi"/>
          <w:color w:val="464445"/>
          <w:kern w:val="0"/>
          <w:szCs w:val="21"/>
        </w:rPr>
        <w:t xml:space="preserve">F </w:t>
      </w:r>
      <w:r>
        <w:rPr>
          <w:rFonts w:hint="eastAsia" w:ascii="宋体" w:cs="宋体" w:hAnsiTheme="minorHAnsi"/>
          <w:color w:val="464445"/>
          <w:kern w:val="0"/>
          <w:szCs w:val="21"/>
        </w:rPr>
        <w:t>市人民政府令第</w:t>
      </w:r>
      <w:r>
        <w:rPr>
          <w:rFonts w:ascii="宋体" w:cs="宋体" w:hAnsiTheme="minorHAnsi"/>
          <w:color w:val="464445"/>
          <w:kern w:val="0"/>
          <w:szCs w:val="21"/>
        </w:rPr>
        <w:t xml:space="preserve">167 </w:t>
      </w:r>
      <w:r>
        <w:rPr>
          <w:rFonts w:hint="eastAsia" w:ascii="宋体" w:cs="宋体" w:hAnsiTheme="minorHAnsi"/>
          <w:color w:val="464445"/>
          <w:kern w:val="0"/>
          <w:szCs w:val="21"/>
        </w:rPr>
        <w:t>号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《合肥市控制性详细规划通则（试行）》已经</w:t>
      </w:r>
      <w:r>
        <w:rPr>
          <w:rFonts w:ascii="宋体" w:cs="宋体" w:hAnsiTheme="minorHAnsi"/>
          <w:color w:val="464445"/>
          <w:kern w:val="0"/>
          <w:szCs w:val="21"/>
        </w:rPr>
        <w:t xml:space="preserve">2013 </w:t>
      </w:r>
      <w:r>
        <w:rPr>
          <w:rFonts w:hint="eastAsia" w:ascii="宋体" w:cs="宋体" w:hAnsiTheme="minorHAnsi"/>
          <w:color w:val="464445"/>
          <w:kern w:val="0"/>
          <w:szCs w:val="21"/>
        </w:rPr>
        <w:t>年</w:t>
      </w:r>
      <w:r>
        <w:rPr>
          <w:rFonts w:ascii="宋体" w:cs="宋体" w:hAnsiTheme="minorHAnsi"/>
          <w:color w:val="464445"/>
          <w:kern w:val="0"/>
          <w:szCs w:val="21"/>
        </w:rPr>
        <w:t xml:space="preserve">1 </w:t>
      </w:r>
      <w:r>
        <w:rPr>
          <w:rFonts w:hint="eastAsia" w:ascii="宋体" w:cs="宋体" w:hAnsiTheme="minorHAnsi"/>
          <w:color w:val="464445"/>
          <w:kern w:val="0"/>
          <w:szCs w:val="21"/>
        </w:rPr>
        <w:t>月</w:t>
      </w:r>
      <w:r>
        <w:rPr>
          <w:rFonts w:ascii="宋体" w:cs="宋体" w:hAnsiTheme="minorHAnsi"/>
          <w:color w:val="464445"/>
          <w:kern w:val="0"/>
          <w:szCs w:val="21"/>
        </w:rPr>
        <w:t xml:space="preserve">21 </w:t>
      </w:r>
      <w:r>
        <w:rPr>
          <w:rFonts w:hint="eastAsia" w:ascii="宋体" w:cs="宋体" w:hAnsiTheme="minorHAnsi"/>
          <w:color w:val="464445"/>
          <w:kern w:val="0"/>
          <w:szCs w:val="21"/>
        </w:rPr>
        <w:t>日市人民政府第</w:t>
      </w:r>
      <w:r>
        <w:rPr>
          <w:rFonts w:ascii="宋体" w:cs="宋体" w:hAnsiTheme="minorHAnsi"/>
          <w:color w:val="464445"/>
          <w:kern w:val="0"/>
          <w:szCs w:val="21"/>
        </w:rPr>
        <w:t xml:space="preserve">1 </w:t>
      </w:r>
      <w:r>
        <w:rPr>
          <w:rFonts w:hint="eastAsia" w:ascii="宋体" w:cs="宋体" w:hAnsiTheme="minorHAnsi"/>
          <w:color w:val="464445"/>
          <w:kern w:val="0"/>
          <w:szCs w:val="21"/>
        </w:rPr>
        <w:t>次常务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会议审议通过，现予公布，自</w:t>
      </w:r>
      <w:r>
        <w:rPr>
          <w:rFonts w:ascii="宋体" w:cs="宋体" w:hAnsiTheme="minorHAnsi"/>
          <w:color w:val="464445"/>
          <w:kern w:val="0"/>
          <w:szCs w:val="21"/>
        </w:rPr>
        <w:t xml:space="preserve">2013 </w:t>
      </w:r>
      <w:r>
        <w:rPr>
          <w:rFonts w:hint="eastAsia" w:ascii="宋体" w:cs="宋体" w:hAnsiTheme="minorHAnsi"/>
          <w:color w:val="464445"/>
          <w:kern w:val="0"/>
          <w:szCs w:val="21"/>
        </w:rPr>
        <w:t>年</w:t>
      </w:r>
      <w:r>
        <w:rPr>
          <w:rFonts w:ascii="宋体" w:cs="宋体" w:hAnsiTheme="minorHAnsi"/>
          <w:color w:val="464445"/>
          <w:kern w:val="0"/>
          <w:szCs w:val="21"/>
        </w:rPr>
        <w:t xml:space="preserve">7 </w:t>
      </w:r>
      <w:r>
        <w:rPr>
          <w:rFonts w:hint="eastAsia" w:ascii="宋体" w:cs="宋体" w:hAnsiTheme="minorHAnsi"/>
          <w:color w:val="464445"/>
          <w:kern w:val="0"/>
          <w:szCs w:val="21"/>
        </w:rPr>
        <w:t>月</w:t>
      </w:r>
      <w:r>
        <w:rPr>
          <w:rFonts w:ascii="宋体" w:cs="宋体" w:hAnsiTheme="minorHAnsi"/>
          <w:color w:val="464445"/>
          <w:kern w:val="0"/>
          <w:szCs w:val="21"/>
        </w:rPr>
        <w:t xml:space="preserve">1 </w:t>
      </w:r>
      <w:r>
        <w:rPr>
          <w:rFonts w:hint="eastAsia" w:ascii="宋体" w:cs="宋体" w:hAnsiTheme="minorHAnsi"/>
          <w:color w:val="464445"/>
          <w:kern w:val="0"/>
          <w:szCs w:val="21"/>
        </w:rPr>
        <w:t>日起施行。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市长：某某某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ascii="宋体" w:cs="宋体" w:hAnsiTheme="minorHAnsi"/>
          <w:color w:val="464445"/>
          <w:kern w:val="0"/>
          <w:szCs w:val="21"/>
        </w:rPr>
        <w:t xml:space="preserve">2013 </w:t>
      </w:r>
      <w:r>
        <w:rPr>
          <w:rFonts w:hint="eastAsia" w:ascii="宋体" w:cs="宋体" w:hAnsiTheme="minorHAnsi"/>
          <w:color w:val="464445"/>
          <w:kern w:val="0"/>
          <w:szCs w:val="21"/>
        </w:rPr>
        <w:t>年</w:t>
      </w:r>
      <w:r>
        <w:rPr>
          <w:rFonts w:ascii="宋体" w:cs="宋体" w:hAnsiTheme="minorHAnsi"/>
          <w:color w:val="464445"/>
          <w:kern w:val="0"/>
          <w:szCs w:val="21"/>
        </w:rPr>
        <w:t xml:space="preserve">5 </w:t>
      </w:r>
      <w:r>
        <w:rPr>
          <w:rFonts w:hint="eastAsia" w:ascii="宋体" w:cs="宋体" w:hAnsiTheme="minorHAnsi"/>
          <w:color w:val="464445"/>
          <w:kern w:val="0"/>
          <w:szCs w:val="21"/>
        </w:rPr>
        <w:t>月</w:t>
      </w:r>
      <w:r>
        <w:rPr>
          <w:rFonts w:ascii="宋体" w:cs="宋体" w:hAnsiTheme="minorHAnsi"/>
          <w:color w:val="464445"/>
          <w:kern w:val="0"/>
          <w:szCs w:val="21"/>
        </w:rPr>
        <w:t xml:space="preserve">6 </w:t>
      </w:r>
      <w:r>
        <w:rPr>
          <w:rFonts w:hint="eastAsia" w:ascii="宋体" w:cs="宋体" w:hAnsiTheme="minorHAnsi"/>
          <w:color w:val="464445"/>
          <w:kern w:val="0"/>
          <w:szCs w:val="21"/>
        </w:rPr>
        <w:t>日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ascii="宋体" w:cs="宋体" w:hAnsiTheme="minorHAnsi"/>
          <w:color w:val="464445"/>
          <w:kern w:val="0"/>
          <w:szCs w:val="21"/>
        </w:rPr>
        <w:t xml:space="preserve">1 </w:t>
      </w:r>
      <w:r>
        <w:rPr>
          <w:rFonts w:hint="eastAsia" w:ascii="宋体" w:cs="宋体" w:hAnsiTheme="minorHAnsi"/>
          <w:color w:val="464445"/>
          <w:kern w:val="0"/>
          <w:szCs w:val="21"/>
        </w:rPr>
        <w:t>至</w:t>
      </w:r>
      <w:r>
        <w:rPr>
          <w:rFonts w:ascii="宋体" w:cs="宋体" w:hAnsiTheme="minorHAnsi"/>
          <w:color w:val="464445"/>
          <w:kern w:val="0"/>
          <w:szCs w:val="21"/>
        </w:rPr>
        <w:t xml:space="preserve">7.3.1 </w:t>
      </w:r>
      <w:r>
        <w:rPr>
          <w:rFonts w:hint="eastAsia" w:ascii="宋体" w:cs="宋体" w:hAnsiTheme="minorHAnsi"/>
          <w:color w:val="464445"/>
          <w:kern w:val="0"/>
          <w:szCs w:val="21"/>
        </w:rPr>
        <w:t>略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ascii="宋体" w:cs="宋体" w:hAnsiTheme="minorHAnsi"/>
          <w:color w:val="464445"/>
          <w:kern w:val="0"/>
          <w:szCs w:val="21"/>
        </w:rPr>
        <w:t xml:space="preserve">7.3.2 </w:t>
      </w:r>
      <w:r>
        <w:rPr>
          <w:rFonts w:hint="eastAsia" w:ascii="宋体" w:cs="宋体" w:hAnsiTheme="minorHAnsi"/>
          <w:color w:val="464445"/>
          <w:kern w:val="0"/>
          <w:szCs w:val="21"/>
        </w:rPr>
        <w:t>配建停车场（库）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（</w:t>
      </w:r>
      <w:r>
        <w:rPr>
          <w:rFonts w:ascii="宋体" w:cs="宋体" w:hAnsiTheme="minorHAnsi"/>
          <w:color w:val="464445"/>
          <w:kern w:val="0"/>
          <w:szCs w:val="21"/>
        </w:rPr>
        <w:t>1</w:t>
      </w:r>
      <w:r>
        <w:rPr>
          <w:rFonts w:hint="eastAsia" w:ascii="宋体" w:cs="宋体" w:hAnsiTheme="minorHAnsi"/>
          <w:color w:val="464445"/>
          <w:kern w:val="0"/>
          <w:szCs w:val="21"/>
        </w:rPr>
        <w:t>）新建、改建、扩建各类建筑及住宅小区，应当配置相应的停车场（库）。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ascii="宋体" w:cs="宋体" w:hAnsiTheme="minorHAnsi"/>
          <w:color w:val="464445"/>
          <w:kern w:val="0"/>
          <w:szCs w:val="21"/>
        </w:rPr>
        <w:t>1</w:t>
      </w:r>
      <w:r>
        <w:rPr>
          <w:rFonts w:hint="eastAsia" w:ascii="宋体" w:cs="宋体" w:hAnsiTheme="minorHAnsi"/>
          <w:color w:val="464445"/>
          <w:kern w:val="0"/>
          <w:szCs w:val="21"/>
        </w:rPr>
        <w:t>）不同性质类别建筑（群）的（非）机动车停车位指标按表</w:t>
      </w:r>
      <w:r>
        <w:rPr>
          <w:rFonts w:ascii="宋体" w:cs="宋体" w:hAnsiTheme="minorHAnsi"/>
          <w:color w:val="464445"/>
          <w:kern w:val="0"/>
          <w:szCs w:val="21"/>
        </w:rPr>
        <w:t xml:space="preserve">7.3.2-2 </w:t>
      </w:r>
      <w:r>
        <w:rPr>
          <w:rFonts w:hint="eastAsia" w:ascii="宋体" w:cs="宋体" w:hAnsiTheme="minorHAnsi"/>
          <w:color w:val="464445"/>
          <w:kern w:val="0"/>
          <w:szCs w:val="21"/>
        </w:rPr>
        <w:t>执行。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下略</w:t>
      </w:r>
    </w:p>
    <w:p>
      <w:pPr>
        <w:autoSpaceDE w:val="0"/>
        <w:autoSpaceDN w:val="0"/>
        <w:adjustRightInd w:val="0"/>
        <w:jc w:val="left"/>
        <w:rPr>
          <w:rFonts w:ascii="宋体" w:cs="宋体" w:hAnsiTheme="minorHAnsi"/>
          <w:color w:val="464445"/>
          <w:kern w:val="0"/>
          <w:szCs w:val="21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（</w:t>
      </w:r>
      <w:r>
        <w:rPr>
          <w:rFonts w:ascii="宋体" w:cs="宋体" w:hAnsiTheme="minorHAnsi"/>
          <w:color w:val="464445"/>
          <w:kern w:val="0"/>
          <w:szCs w:val="21"/>
        </w:rPr>
        <w:t>6</w:t>
      </w:r>
      <w:r>
        <w:rPr>
          <w:rFonts w:hint="eastAsia" w:ascii="宋体" w:cs="宋体" w:hAnsiTheme="minorHAnsi"/>
          <w:color w:val="464445"/>
          <w:kern w:val="0"/>
          <w:szCs w:val="21"/>
        </w:rPr>
        <w:t>）住宅小区地面停车率不宜大于</w:t>
      </w:r>
      <w:r>
        <w:rPr>
          <w:rFonts w:ascii="宋体" w:cs="宋体" w:hAnsiTheme="minorHAnsi"/>
          <w:color w:val="464445"/>
          <w:kern w:val="0"/>
          <w:szCs w:val="21"/>
        </w:rPr>
        <w:t>25</w:t>
      </w:r>
      <w:r>
        <w:rPr>
          <w:rFonts w:hint="eastAsia" w:ascii="宋体" w:cs="宋体" w:hAnsiTheme="minorHAnsi"/>
          <w:color w:val="464445"/>
          <w:kern w:val="0"/>
          <w:szCs w:val="21"/>
        </w:rPr>
        <w:t>％，且不得占用小区公共绿地。鼓励住宅小区采</w:t>
      </w:r>
    </w:p>
    <w:p>
      <w:pPr>
        <w:rPr>
          <w:rFonts w:ascii="仿宋" w:eastAsia="仿宋" w:cs="仿宋" w:hAnsiTheme="minorHAnsi"/>
          <w:color w:val="000000"/>
          <w:kern w:val="0"/>
          <w:sz w:val="28"/>
          <w:szCs w:val="28"/>
        </w:rPr>
      </w:pPr>
      <w:r>
        <w:rPr>
          <w:rFonts w:hint="eastAsia" w:ascii="宋体" w:cs="宋体" w:hAnsiTheme="minorHAnsi"/>
          <w:color w:val="464445"/>
          <w:kern w:val="0"/>
          <w:szCs w:val="21"/>
        </w:rPr>
        <w:t>取地下停车，禁止采用地下机械式停车设施。</w:t>
      </w:r>
      <w:r>
        <w:rPr>
          <w:rFonts w:ascii="仿宋" w:eastAsia="仿宋" w:cs="仿宋" w:hAnsiTheme="minorHAnsi"/>
          <w:color w:val="000000"/>
          <w:kern w:val="0"/>
          <w:sz w:val="28"/>
          <w:szCs w:val="28"/>
        </w:rPr>
        <w:t>__</w:t>
      </w:r>
    </w:p>
    <w:p>
      <w:pPr>
        <w:spacing w:line="400" w:lineRule="exact"/>
        <w:jc w:val="center"/>
        <w:rPr>
          <w:rFonts w:hint="eastAsia" w:ascii="黑体" w:hAnsi="Tahoma" w:eastAsia="黑体" w:cs="Arial"/>
          <w:b/>
          <w:bCs/>
          <w:color w:val="FF0000"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Tahoma" w:eastAsia="黑体" w:cs="Arial"/>
          <w:b/>
          <w:bCs/>
          <w:color w:val="FF0000"/>
          <w:kern w:val="0"/>
          <w:sz w:val="28"/>
          <w:szCs w:val="28"/>
        </w:rPr>
      </w:pPr>
      <w:r>
        <w:rPr>
          <w:rFonts w:hint="eastAsia" w:ascii="黑体" w:hAnsi="Tahoma" w:eastAsia="黑体" w:cs="Arial"/>
          <w:b/>
          <w:bCs/>
          <w:color w:val="FF0000"/>
          <w:kern w:val="0"/>
          <w:sz w:val="28"/>
          <w:szCs w:val="28"/>
        </w:rPr>
        <w:br w:type="page"/>
      </w:r>
    </w:p>
    <w:p>
      <w:pPr>
        <w:spacing w:line="400" w:lineRule="exact"/>
        <w:jc w:val="center"/>
        <w:rPr>
          <w:rFonts w:hint="eastAsia" w:ascii="黑体" w:hAnsi="Tahoma" w:eastAsia="黑体" w:cs="Arial"/>
          <w:b/>
          <w:bCs/>
          <w:color w:val="FF0000"/>
          <w:kern w:val="0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hAnsi="Tahoma" w:eastAsia="黑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Tahoma" w:eastAsia="黑体" w:cs="Arial"/>
          <w:b/>
          <w:bCs/>
          <w:color w:val="000000"/>
          <w:kern w:val="0"/>
          <w:sz w:val="28"/>
          <w:szCs w:val="28"/>
        </w:rPr>
        <w:t>人文与管理学院大学生模拟法庭比赛</w:t>
      </w:r>
    </w:p>
    <w:p>
      <w:pPr>
        <w:spacing w:after="156" w:afterLines="50" w:line="400" w:lineRule="exact"/>
        <w:jc w:val="center"/>
        <w:rPr>
          <w:rFonts w:hint="eastAsia" w:ascii="黑体" w:hAnsi="Tahoma" w:eastAsia="黑体" w:cs="Arial"/>
          <w:bCs/>
          <w:color w:val="000000"/>
          <w:kern w:val="0"/>
          <w:sz w:val="28"/>
          <w:szCs w:val="28"/>
        </w:rPr>
      </w:pPr>
      <w:r>
        <w:rPr>
          <w:rFonts w:hint="eastAsia" w:ascii="黑体" w:hAnsi="Tahoma" w:eastAsia="黑体" w:cs="Arial"/>
          <w:bCs/>
          <w:color w:val="000000"/>
          <w:kern w:val="0"/>
          <w:sz w:val="28"/>
          <w:szCs w:val="28"/>
        </w:rPr>
        <w:t>评  判  表</w:t>
      </w:r>
    </w:p>
    <w:tbl>
      <w:tblPr>
        <w:tblStyle w:val="5"/>
        <w:tblW w:w="813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7"/>
        <w:gridCol w:w="2386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813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"http://wenwen.soso.com/z/Search.e?sp=S%E8%BE%A9%E8%AE%BA%E8%B5%9B&amp;ch=w.search.yjjlink&amp;cid=w.search.yjjlink"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辩论赛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团体评分表（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评分项目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正方得分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反方得分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陈述、答辩（20分）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举证、质证（20分）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提问、答辩（20分）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法庭辩论、最后陈述（20分）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语言</w:t>
            </w:r>
            <w:r>
              <w:fldChar w:fldCharType="begin"/>
            </w:r>
            <w:r>
              <w:instrText xml:space="preserve"> HYPERLINK "http://wenwen.soso.com/z/Search.e?sp=S%E9%A3%8E%E5%BA%A6&amp;ch=w.search.yjjlink&amp;cid=w.search.yjjlink"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风度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"http://wenwen.soso.com/z/Search.e?sp=S%E4%B8%B4%E5%9C%BA&amp;ch=w.search.yjjlink&amp;cid=w.search.yjjlink"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临场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</w:trPr>
        <w:tc>
          <w:tcPr>
            <w:tcW w:w="3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最后得分</w:t>
            </w:r>
          </w:p>
        </w:tc>
        <w:tc>
          <w:tcPr>
            <w:tcW w:w="238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投票结果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5"/>
        <w:tblW w:w="9660" w:type="dxa"/>
        <w:tblCellSpacing w:w="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9660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"http://wenwen.soso.com/z/Search.e?sp=S%E6%9C%80%E4%BD%B3%E8%BE%A9%E6%89%8B&amp;ch=w.search.yjjlink&amp;cid=w.search.yjjlink" \t "_blank"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最佳辩手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评分表（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评分项目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被告一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被告二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语言表达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"http://wenwen.soso.com/z/Search.e?sp=S%E9%80%BB%E8%BE%91%E6%80%9D%E7%BB%B4&amp;ch=w.search.yjjlink&amp;cid=w.search.yjjlink"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逻辑思维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"http://wenwen.soso.com/z/Search.e?sp=S%E8%BE%A9%E9%A9%B3&amp;ch=w.search.yjjlink&amp;cid=w.search.yjjlink"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辩驳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能力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临场反应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整体意识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"http://wenwen.soso.com/z/Search.e?sp=S%E7%BE%8E%E6%84%9F&amp;ch=w.search.yjjlink&amp;cid=w.search.yjjlink"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美感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风度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综合印象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最后得分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投票结果</w:t>
            </w:r>
          </w:p>
        </w:tc>
        <w:tc>
          <w:tcPr>
            <w:tcW w:w="7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4340" w:firstLineChars="1550"/>
        <w:rPr>
          <w:rFonts w:hint="eastAsia"/>
          <w:color w:val="000000"/>
          <w:sz w:val="28"/>
          <w:szCs w:val="28"/>
        </w:rPr>
      </w:pPr>
    </w:p>
    <w:p>
      <w:pPr>
        <w:ind w:firstLine="4340" w:firstLineChars="1550"/>
        <w:rPr>
          <w:rFonts w:ascii="宋体" w:cs="宋体" w:hAnsiTheme="minorHAnsi"/>
          <w:color w:val="FF0000"/>
          <w:kern w:val="0"/>
          <w:szCs w:val="21"/>
        </w:rPr>
      </w:pPr>
      <w:r>
        <w:rPr>
          <w:rFonts w:hint="eastAsia"/>
          <w:color w:val="000000"/>
          <w:sz w:val="28"/>
          <w:szCs w:val="28"/>
        </w:rPr>
        <w:t xml:space="preserve">评委签名：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30"/>
    <w:rsid w:val="00034134"/>
    <w:rsid w:val="004B2186"/>
    <w:rsid w:val="00AE6C4F"/>
    <w:rsid w:val="00C82408"/>
    <w:rsid w:val="00D13B30"/>
    <w:rsid w:val="00DB2660"/>
    <w:rsid w:val="00E05301"/>
    <w:rsid w:val="00E0606D"/>
    <w:rsid w:val="00E53F62"/>
    <w:rsid w:val="00EE0421"/>
    <w:rsid w:val="00F13A14"/>
    <w:rsid w:val="346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1329</Words>
  <Characters>7581</Characters>
  <Lines>63</Lines>
  <Paragraphs>17</Paragraphs>
  <TotalTime>0</TotalTime>
  <ScaleCrop>false</ScaleCrop>
  <LinksUpToDate>false</LinksUpToDate>
  <CharactersWithSpaces>8893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2017-10-21T05:59:00Z</dcterms:created>
  <dc:creator>微软用户</dc:creator>
  <cp:lastModifiedBy>张欣慧</cp:lastModifiedBy>
  <dcterms:modified xsi:type="dcterms:W3CDTF">2017-10-22T14:52:08Z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